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pageBreakBefore w:val="1"/>
        <w:spacing w:line="360" w:lineRule="auto"/>
        <w:jc w:val="right"/>
        <w:rPr>
          <w:rStyle w:val="None"/>
          <w:sz w:val="28"/>
          <w:szCs w:val="28"/>
        </w:rPr>
      </w:pPr>
      <w:r>
        <w:rPr>
          <w:rStyle w:val="None"/>
          <w:sz w:val="28"/>
          <w:szCs w:val="28"/>
          <w:rtl w:val="0"/>
          <w:lang w:val="ru-RU"/>
        </w:rPr>
        <w:t xml:space="preserve">Приложение </w:t>
      </w:r>
      <w:r>
        <w:rPr>
          <w:rStyle w:val="None"/>
          <w:sz w:val="28"/>
          <w:szCs w:val="28"/>
          <w:rtl w:val="0"/>
          <w:lang w:val="ru-RU"/>
        </w:rPr>
        <w:t>3</w:t>
      </w:r>
    </w:p>
    <w:p>
      <w:pPr>
        <w:pStyle w:val="Обычный"/>
        <w:spacing w:line="360" w:lineRule="auto"/>
        <w:rPr>
          <w:rStyle w:val="None"/>
          <w:sz w:val="25"/>
          <w:szCs w:val="25"/>
        </w:rPr>
      </w:pPr>
      <w:r>
        <w:rPr>
          <w:rStyle w:val="None"/>
          <w:sz w:val="28"/>
          <w:szCs w:val="28"/>
          <w:rtl w:val="0"/>
          <w:lang w:val="ru-RU"/>
        </w:rPr>
        <w:t xml:space="preserve">Функции используемых в АО «МСМ № </w:t>
      </w:r>
      <w:r>
        <w:rPr>
          <w:rStyle w:val="None"/>
          <w:sz w:val="28"/>
          <w:szCs w:val="28"/>
          <w:rtl w:val="0"/>
          <w:lang w:val="ru-RU"/>
        </w:rPr>
        <w:t>4</w:t>
      </w:r>
      <w:r>
        <w:rPr>
          <w:rStyle w:val="None"/>
          <w:sz w:val="28"/>
          <w:szCs w:val="28"/>
          <w:rtl w:val="0"/>
          <w:lang w:val="ru-RU"/>
        </w:rPr>
        <w:t>» программ и «Контур Корпорация»</w:t>
      </w:r>
      <w:r>
        <w:rPr>
          <w:rStyle w:val="None"/>
          <w:sz w:val="28"/>
          <w:szCs w:val="28"/>
          <w:rtl w:val="0"/>
          <w:lang w:val="ru-RU"/>
        </w:rPr>
        <w:t>.</w:t>
      </w:r>
    </w:p>
    <w:tbl>
      <w:tblPr>
        <w:tblW w:w="1019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294"/>
        <w:gridCol w:w="1569"/>
        <w:gridCol w:w="1336"/>
      </w:tblGrid>
      <w:tr>
        <w:tblPrEx>
          <w:shd w:val="clear" w:color="auto" w:fill="4f81bd"/>
        </w:tblPrEx>
        <w:trPr>
          <w:trHeight w:val="412" w:hRule="atLeast"/>
          <w:tblHeader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Возможности программы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Используемые программы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Контур Корпораци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я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1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2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3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10199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Целеполагание и построение модели бюджетирования и управленческого учета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1.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Делегирование ответственности и полномочий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2.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Моделирование системы бюджетов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3.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Универсальность системы бюджетирования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4.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Настройка собственных отчетов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,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показателей и аналитик бюджетирования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5.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Моделирование финансово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-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хозяйственной деятельности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6.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Использование нормативов и лимитов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7.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Поддержка международных стандартов финансовой отчетности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(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МСФО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). 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sz w:val="18"/>
                <w:szCs w:val="18"/>
                <w:rtl w:val="0"/>
                <w:lang w:val="ru-RU"/>
              </w:rPr>
              <w:t>8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Управленческие аналитики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10199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Планирование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,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бюджетирование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9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Получение основных бюджетов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1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0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Получение дополнительных бюджетов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1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1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Установка целевых значений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1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2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Планирование различных сценариев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1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3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Специальные средства для упрощения планирования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1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4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Планирование в произвольных периодах времени и с произвольной дискретностью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1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5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Утверждение планов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10199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Учет и контроль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16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Внутрихолдинговые операции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sz w:val="18"/>
                <w:szCs w:val="18"/>
                <w:rtl w:val="0"/>
                <w:lang w:val="ru-RU"/>
              </w:rPr>
              <w:t>17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Связь с учетными системами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10199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Анализ и внесение корректив в бюджеты и цели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sz w:val="18"/>
                <w:szCs w:val="18"/>
                <w:rtl w:val="0"/>
                <w:lang w:val="ru-RU"/>
              </w:rPr>
              <w:t>18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Консолидация данных для холдингов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,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управляющих компаний и корпораций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4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sz w:val="18"/>
                <w:szCs w:val="18"/>
                <w:rtl w:val="0"/>
                <w:lang w:val="ru-RU"/>
              </w:rPr>
              <w:t>19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Анализ плановых и фактических структуры затрат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,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расчет безубыточности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,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себестоимости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,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маржи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,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рентабельности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2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0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Факторный анализ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sz w:val="18"/>
                <w:szCs w:val="18"/>
                <w:rtl w:val="0"/>
                <w:lang w:val="ru-RU"/>
              </w:rPr>
              <w:t>21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 OLAP-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отчеты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10199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Технические возможности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2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2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Использование управленческого плана счетов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rStyle w:val="None"/>
                <w:sz w:val="18"/>
                <w:szCs w:val="18"/>
                <w:rtl w:val="0"/>
                <w:lang w:val="ru-RU"/>
              </w:rPr>
              <w:t>2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3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Многовалютный учет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sz w:val="18"/>
                <w:szCs w:val="18"/>
                <w:rtl w:val="0"/>
                <w:lang w:val="ru-RU"/>
              </w:rPr>
              <w:t>24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Возможность предоставления отчетов за произвольный период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sz w:val="18"/>
                <w:szCs w:val="18"/>
                <w:rtl w:val="0"/>
                <w:lang w:val="ru-RU"/>
              </w:rPr>
              <w:t>25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Использование произвольных форм ввода данных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sz w:val="18"/>
                <w:szCs w:val="18"/>
                <w:rtl w:val="0"/>
                <w:lang w:val="ru-RU"/>
              </w:rPr>
              <w:t>26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Документооборот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sz w:val="18"/>
                <w:szCs w:val="18"/>
                <w:rtl w:val="0"/>
                <w:lang w:val="ru-RU"/>
              </w:rPr>
              <w:t>27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Встроенные средства обмена данными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.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sz w:val="18"/>
                <w:szCs w:val="18"/>
                <w:rtl w:val="0"/>
                <w:lang w:val="ru-RU"/>
              </w:rPr>
              <w:t>28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Разграничение доступа к данным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72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sz w:val="18"/>
                <w:szCs w:val="18"/>
                <w:rtl w:val="0"/>
                <w:lang w:val="ru-RU"/>
              </w:rPr>
              <w:t>29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>Многоуровневые управленческие аналитики</w:t>
            </w:r>
            <w:r>
              <w:rPr>
                <w:rStyle w:val="None"/>
                <w:sz w:val="18"/>
                <w:szCs w:val="18"/>
                <w:rtl w:val="0"/>
                <w:lang w:val="ru-RU"/>
              </w:rPr>
              <w:t xml:space="preserve">. </w:t>
            </w:r>
          </w:p>
        </w:tc>
        <w:tc>
          <w:tcPr>
            <w:tcW w:type="dxa" w:w="15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</w:p>
        </w:tc>
        <w:tc>
          <w:tcPr>
            <w:tcW w:type="dxa" w:w="133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 </w:t>
            </w:r>
            <w:r>
              <w:rPr>
                <w:rStyle w:val="None"/>
                <w:b w:val="1"/>
                <w:bCs w:val="1"/>
                <w:sz w:val="18"/>
                <w:szCs w:val="18"/>
                <w:rtl w:val="0"/>
                <w:lang w:val="ru-RU"/>
              </w:rPr>
              <w:t>+</w:t>
            </w:r>
          </w:p>
        </w:tc>
      </w:tr>
    </w:tbl>
    <w:p>
      <w:pPr>
        <w:pStyle w:val="Обычный"/>
        <w:widowControl w:val="0"/>
        <w:ind w:left="0" w:firstLine="0"/>
      </w:pPr>
      <w:r>
        <w:rPr>
          <w:rStyle w:val="None"/>
          <w:sz w:val="25"/>
          <w:szCs w:val="25"/>
        </w:rPr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850" w:right="567" w:bottom="850" w:left="1134" w:header="720" w:footer="709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Fill>
        <w14:solidFill>
          <w14:srgbClr w14:val="000000"/>
        </w14:solidFill>
      </w14:textFill>
    </w:rPr>
  </w:style>
  <w:style w:type="character" w:styleId="None">
    <w:name w:val="None"/>
    <w:rPr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